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E25B3">
        <w:rPr>
          <w:rFonts w:hint="eastAsia"/>
          <w:sz w:val="24"/>
          <w:szCs w:val="24"/>
        </w:rPr>
        <w:t>令和</w:t>
      </w:r>
      <w:r w:rsidR="0048458F">
        <w:rPr>
          <w:rFonts w:hint="eastAsia"/>
          <w:sz w:val="24"/>
          <w:szCs w:val="24"/>
        </w:rPr>
        <w:t>２</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45624">
            <w:pPr>
              <w:rPr>
                <w:sz w:val="24"/>
                <w:szCs w:val="24"/>
              </w:rPr>
            </w:pPr>
            <w:r>
              <w:rPr>
                <w:rFonts w:hint="eastAsia"/>
                <w:sz w:val="24"/>
                <w:szCs w:val="24"/>
              </w:rPr>
              <w:t>灯油（</w:t>
            </w:r>
            <w:r w:rsidR="00CA0846">
              <w:rPr>
                <w:rFonts w:hint="eastAsia"/>
                <w:sz w:val="24"/>
                <w:szCs w:val="24"/>
              </w:rPr>
              <w:t>小型</w:t>
            </w:r>
            <w:bookmarkStart w:id="0" w:name="_GoBack"/>
            <w:bookmarkEnd w:id="0"/>
            <w:r>
              <w:rPr>
                <w:rFonts w:hint="eastAsia"/>
                <w:sz w:val="24"/>
                <w:szCs w:val="24"/>
              </w:rPr>
              <w:t>ローリー）</w:t>
            </w:r>
          </w:p>
        </w:tc>
        <w:tc>
          <w:tcPr>
            <w:tcW w:w="1708" w:type="dxa"/>
          </w:tcPr>
          <w:p w:rsidR="00D95351" w:rsidRDefault="00B159DE">
            <w:pPr>
              <w:rPr>
                <w:sz w:val="24"/>
                <w:szCs w:val="24"/>
              </w:rPr>
            </w:pPr>
            <w:r>
              <w:rPr>
                <w:rFonts w:hint="eastAsia"/>
                <w:sz w:val="24"/>
                <w:szCs w:val="24"/>
              </w:rPr>
              <w:t>JIS-K220</w:t>
            </w:r>
            <w:r w:rsidR="00B45624">
              <w:rPr>
                <w:rFonts w:hint="eastAsia"/>
                <w:sz w:val="24"/>
                <w:szCs w:val="24"/>
              </w:rPr>
              <w:t>3</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E25B3">
              <w:rPr>
                <w:rFonts w:hint="eastAsia"/>
                <w:color w:val="000000" w:themeColor="text1"/>
                <w:szCs w:val="21"/>
              </w:rPr>
              <w:t>令和</w:t>
            </w:r>
            <w:r w:rsidR="0048458F">
              <w:rPr>
                <w:rFonts w:hint="eastAsia"/>
                <w:color w:val="000000" w:themeColor="text1"/>
                <w:szCs w:val="21"/>
              </w:rPr>
              <w:t>３</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45624">
              <w:rPr>
                <w:rFonts w:hint="eastAsia"/>
                <w:color w:val="000000" w:themeColor="text1"/>
                <w:szCs w:val="21"/>
              </w:rPr>
              <w:t xml:space="preserve">　２</w:t>
            </w:r>
            <w:r w:rsidR="002E25B3">
              <w:rPr>
                <w:rFonts w:hint="eastAsia"/>
                <w:color w:val="000000" w:themeColor="text1"/>
                <w:szCs w:val="21"/>
              </w:rPr>
              <w:t>０</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B0" w:rsidRDefault="00C71CB0" w:rsidP="005F4BA2">
      <w:r>
        <w:separator/>
      </w:r>
    </w:p>
  </w:endnote>
  <w:endnote w:type="continuationSeparator" w:id="0">
    <w:p w:rsidR="00C71CB0" w:rsidRDefault="00C71CB0"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B0" w:rsidRDefault="00C71CB0" w:rsidP="005F4BA2">
      <w:r>
        <w:separator/>
      </w:r>
    </w:p>
  </w:footnote>
  <w:footnote w:type="continuationSeparator" w:id="0">
    <w:p w:rsidR="00C71CB0" w:rsidRDefault="00C71CB0"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4562D"/>
    <w:rsid w:val="0026575F"/>
    <w:rsid w:val="00274D46"/>
    <w:rsid w:val="00296DFF"/>
    <w:rsid w:val="002E25B3"/>
    <w:rsid w:val="00380E33"/>
    <w:rsid w:val="00384380"/>
    <w:rsid w:val="00385D41"/>
    <w:rsid w:val="0038697E"/>
    <w:rsid w:val="003875CE"/>
    <w:rsid w:val="003970E3"/>
    <w:rsid w:val="00462010"/>
    <w:rsid w:val="0046711D"/>
    <w:rsid w:val="0048458F"/>
    <w:rsid w:val="004863F9"/>
    <w:rsid w:val="004B0825"/>
    <w:rsid w:val="004E351F"/>
    <w:rsid w:val="00502413"/>
    <w:rsid w:val="00571A12"/>
    <w:rsid w:val="005801CE"/>
    <w:rsid w:val="00596999"/>
    <w:rsid w:val="005F4BA2"/>
    <w:rsid w:val="0061392A"/>
    <w:rsid w:val="00614A5E"/>
    <w:rsid w:val="00622E5B"/>
    <w:rsid w:val="00640CD5"/>
    <w:rsid w:val="006E214D"/>
    <w:rsid w:val="007B5572"/>
    <w:rsid w:val="00867454"/>
    <w:rsid w:val="00882DEC"/>
    <w:rsid w:val="0094799A"/>
    <w:rsid w:val="00982E8B"/>
    <w:rsid w:val="009B7B8D"/>
    <w:rsid w:val="009E7095"/>
    <w:rsid w:val="00A0790C"/>
    <w:rsid w:val="00A126E9"/>
    <w:rsid w:val="00A339A2"/>
    <w:rsid w:val="00A365F2"/>
    <w:rsid w:val="00A457F1"/>
    <w:rsid w:val="00A60DF7"/>
    <w:rsid w:val="00AD13C0"/>
    <w:rsid w:val="00B159DE"/>
    <w:rsid w:val="00B363E7"/>
    <w:rsid w:val="00B45624"/>
    <w:rsid w:val="00BC028B"/>
    <w:rsid w:val="00BE71C9"/>
    <w:rsid w:val="00BE7762"/>
    <w:rsid w:val="00C71CB0"/>
    <w:rsid w:val="00CA0846"/>
    <w:rsid w:val="00CD32C0"/>
    <w:rsid w:val="00D16831"/>
    <w:rsid w:val="00D239D4"/>
    <w:rsid w:val="00D90B0D"/>
    <w:rsid w:val="00D95351"/>
    <w:rsid w:val="00D972C4"/>
    <w:rsid w:val="00DA1CFD"/>
    <w:rsid w:val="00DA38DF"/>
    <w:rsid w:val="00DF71B9"/>
    <w:rsid w:val="00E66085"/>
    <w:rsid w:val="00E84B25"/>
    <w:rsid w:val="00E965C6"/>
    <w:rsid w:val="00EA415C"/>
    <w:rsid w:val="00EF6B1B"/>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AB3FB"/>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6</cp:revision>
  <cp:lastPrinted>2018-11-18T02:21:00Z</cp:lastPrinted>
  <dcterms:created xsi:type="dcterms:W3CDTF">2018-11-18T04:28:00Z</dcterms:created>
  <dcterms:modified xsi:type="dcterms:W3CDTF">2020-12-09T00:06:00Z</dcterms:modified>
</cp:coreProperties>
</file>